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4549C3" w:rsidRPr="004549C3" w:rsidTr="004549C3">
        <w:trPr>
          <w:trHeight w:val="390"/>
          <w:tblCellSpacing w:w="0" w:type="dxa"/>
        </w:trPr>
        <w:tc>
          <w:tcPr>
            <w:tcW w:w="0" w:type="auto"/>
            <w:shd w:val="clear" w:color="auto" w:fill="FFFFFF"/>
            <w:vAlign w:val="center"/>
            <w:hideMark/>
          </w:tcPr>
          <w:p w:rsidR="004549C3" w:rsidRDefault="004549C3" w:rsidP="004549C3">
            <w:pPr>
              <w:pStyle w:val="a3"/>
              <w:spacing w:line="276" w:lineRule="auto"/>
              <w:rPr>
                <w:rFonts w:ascii="Times New Roman" w:hAnsi="Times New Roman"/>
                <w:b/>
                <w:bCs/>
                <w:color w:val="343434"/>
                <w:sz w:val="28"/>
                <w:szCs w:val="28"/>
                <w:lang w:eastAsia="ru-RU"/>
              </w:rPr>
            </w:pPr>
            <w:r w:rsidRPr="004549C3">
              <w:rPr>
                <w:rFonts w:ascii="Times New Roman" w:hAnsi="Times New Roman"/>
                <w:b/>
                <w:bCs/>
                <w:color w:val="343434"/>
                <w:sz w:val="28"/>
                <w:szCs w:val="28"/>
                <w:lang w:eastAsia="ru-RU"/>
              </w:rPr>
              <w:t>Лекция 1</w:t>
            </w:r>
            <w:r w:rsidRPr="004549C3">
              <w:rPr>
                <w:rFonts w:ascii="Times New Roman" w:hAnsi="Times New Roman"/>
                <w:b/>
                <w:bCs/>
                <w:color w:val="343434"/>
                <w:sz w:val="28"/>
                <w:szCs w:val="28"/>
                <w:lang w:eastAsia="ru-RU"/>
              </w:rPr>
              <w:t>0.</w:t>
            </w:r>
            <w:r w:rsidRPr="004549C3">
              <w:rPr>
                <w:rFonts w:ascii="Times New Roman" w:hAnsi="Times New Roman"/>
                <w:b/>
                <w:bCs/>
                <w:color w:val="343434"/>
                <w:sz w:val="28"/>
                <w:szCs w:val="28"/>
                <w:lang w:eastAsia="ru-RU"/>
              </w:rPr>
              <w:t xml:space="preserve"> Тема </w:t>
            </w:r>
            <w:r w:rsidRPr="004549C3">
              <w:rPr>
                <w:rFonts w:ascii="Times New Roman" w:hAnsi="Times New Roman"/>
                <w:b/>
                <w:bCs/>
                <w:color w:val="343434"/>
                <w:sz w:val="28"/>
                <w:szCs w:val="28"/>
                <w:lang w:eastAsia="ru-RU"/>
              </w:rPr>
              <w:t xml:space="preserve"> Оптические вентили</w:t>
            </w:r>
          </w:p>
          <w:p w:rsidR="004549C3" w:rsidRPr="004549C3" w:rsidRDefault="004549C3" w:rsidP="004549C3">
            <w:pPr>
              <w:pStyle w:val="a3"/>
              <w:spacing w:line="276" w:lineRule="auto"/>
              <w:rPr>
                <w:rFonts w:ascii="Times New Roman" w:hAnsi="Times New Roman"/>
                <w:b/>
                <w:color w:val="343434"/>
                <w:sz w:val="28"/>
                <w:szCs w:val="28"/>
                <w:lang w:eastAsia="ru-RU"/>
              </w:rPr>
            </w:pPr>
            <w:bookmarkStart w:id="0" w:name="_GoBack"/>
            <w:bookmarkEnd w:id="0"/>
          </w:p>
        </w:tc>
        <w:tc>
          <w:tcPr>
            <w:tcW w:w="75" w:type="dxa"/>
            <w:shd w:val="clear" w:color="auto" w:fill="FFFFFF"/>
            <w:vAlign w:val="center"/>
            <w:hideMark/>
          </w:tcPr>
          <w:p w:rsidR="004549C3" w:rsidRPr="004549C3" w:rsidRDefault="004549C3">
            <w:pPr>
              <w:spacing w:after="0"/>
              <w:rPr>
                <w:b/>
              </w:rPr>
            </w:pPr>
          </w:p>
        </w:tc>
      </w:tr>
    </w:tbl>
    <w:p w:rsidR="004549C3" w:rsidRDefault="004549C3" w:rsidP="004549C3">
      <w:pPr>
        <w:pStyle w:val="a3"/>
        <w:rPr>
          <w:rFonts w:ascii="Times New Roman" w:hAnsi="Times New Roman"/>
          <w:color w:val="343434"/>
          <w:sz w:val="28"/>
          <w:szCs w:val="28"/>
          <w:lang w:eastAsia="ru-RU"/>
        </w:rPr>
      </w:pPr>
      <w:r>
        <w:rPr>
          <w:rFonts w:ascii="Times New Roman" w:hAnsi="Times New Roman"/>
          <w:bCs/>
          <w:color w:val="343434"/>
          <w:sz w:val="28"/>
          <w:szCs w:val="28"/>
          <w:lang w:eastAsia="ru-RU"/>
        </w:rPr>
        <w:t>10.1 Назначение и классификация оптических вентилей</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В волоконно-оптических системах передачи существует проблема защиты передающего оптического модуля от своего же собственного излучения, отраженного от элементов оптической системы, размещенных на пути распространения сигнала. </w:t>
      </w:r>
      <w:proofErr w:type="gramStart"/>
      <w:r>
        <w:rPr>
          <w:rFonts w:ascii="Times New Roman" w:hAnsi="Times New Roman"/>
          <w:color w:val="343434"/>
          <w:sz w:val="28"/>
          <w:szCs w:val="28"/>
          <w:lang w:eastAsia="ru-RU"/>
        </w:rPr>
        <w:t>Оптический сигнал, распространяясь по волокну, отражается от различных нерегулярностей, в особенности от оптических коннекторов.</w:t>
      </w:r>
      <w:proofErr w:type="gramEnd"/>
      <w:r>
        <w:rPr>
          <w:rFonts w:ascii="Times New Roman" w:hAnsi="Times New Roman"/>
          <w:color w:val="343434"/>
          <w:sz w:val="28"/>
          <w:szCs w:val="28"/>
          <w:lang w:eastAsia="ru-RU"/>
        </w:rPr>
        <w:t xml:space="preserve"> В результате такого отражения часть оптической энергии возвращается обратно, которая на два порядка больше мощности обратного рассеяния.</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Если в качестве источников излучения используются лазерные диоды, то отраженный сигнал, попадая в резонатор лазера, </w:t>
      </w:r>
      <w:proofErr w:type="gramStart"/>
      <w:r>
        <w:rPr>
          <w:rFonts w:ascii="Times New Roman" w:hAnsi="Times New Roman"/>
          <w:color w:val="343434"/>
          <w:sz w:val="28"/>
          <w:szCs w:val="28"/>
          <w:lang w:eastAsia="ru-RU"/>
        </w:rPr>
        <w:t>способен</w:t>
      </w:r>
      <w:proofErr w:type="gramEnd"/>
      <w:r>
        <w:rPr>
          <w:rFonts w:ascii="Times New Roman" w:hAnsi="Times New Roman"/>
          <w:color w:val="343434"/>
          <w:sz w:val="28"/>
          <w:szCs w:val="28"/>
          <w:lang w:eastAsia="ru-RU"/>
        </w:rPr>
        <w:t xml:space="preserve"> индуцировано усиливаться, приводя к паразитному сигналу. Особенно это не желательно, когда источник излучения генерирует цифровой широкополосный сигнал (&gt;100 МГц), или аналоговый широкополосный сигнал (в смешанных волоконно-коаксиальных сетях кабельного телевидения  до 1 ГГц). В сложных широкополосных сетях, когда имеется множество подключений коннекторов и другие оптические устройства (разветвители, WDM устройства, оптические усилители), такая обратная связь усиливается и приводит к росту уровня шума источника излучения.</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Особо остро проблема развязки лазера стоит при создании когерентных оптических линий связи, прецизионных измерительных систем интерферометрии и спектроскопии, когда допустимы только очень малые частотные флуктуации и уширения спектральной линии, а также в различных системах голографии и многих других.</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Развязка необходима во всех случаях, когда требуется достаточно высокая стабильность параметров излучения лазера. Дело в том, что попадание внешнего излучения в резонатор лазера приводит ко многим нежелательным явлениям, таким, как аномально сильный шум, перескоки между модами и др.</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Обычно функции защиты лазера от внешнего излучения, подавления при необходимости любых других отраженных сигналов в оптической системе выполняет специальное пассивное устройство, которое называется </w:t>
      </w:r>
      <w:r>
        <w:rPr>
          <w:rFonts w:ascii="Times New Roman" w:hAnsi="Times New Roman"/>
          <w:bCs/>
          <w:color w:val="343434"/>
          <w:sz w:val="28"/>
          <w:szCs w:val="28"/>
          <w:lang w:eastAsia="ru-RU"/>
        </w:rPr>
        <w:t>вентилем</w:t>
      </w:r>
      <w:r>
        <w:rPr>
          <w:rFonts w:ascii="Times New Roman" w:hAnsi="Times New Roman"/>
          <w:color w:val="343434"/>
          <w:sz w:val="28"/>
          <w:szCs w:val="28"/>
          <w:lang w:eastAsia="ru-RU"/>
        </w:rPr>
        <w:t> или </w:t>
      </w:r>
      <w:r>
        <w:rPr>
          <w:rFonts w:ascii="Times New Roman" w:hAnsi="Times New Roman"/>
          <w:bCs/>
          <w:color w:val="343434"/>
          <w:sz w:val="28"/>
          <w:szCs w:val="28"/>
          <w:lang w:eastAsia="ru-RU"/>
        </w:rPr>
        <w:t>изолятором</w:t>
      </w:r>
      <w:r>
        <w:rPr>
          <w:rFonts w:ascii="Times New Roman" w:hAnsi="Times New Roman"/>
          <w:color w:val="343434"/>
          <w:sz w:val="28"/>
          <w:szCs w:val="28"/>
          <w:lang w:eastAsia="ru-RU"/>
        </w:rPr>
        <w:t>. Оно должно практически без потерь пропускать излучение в одном (прямом) направлении и эффективно препятствовать прохождению излучения в обратном направлении.</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Работа оптического вентиля основана на использовании различий в параметрах прямого и обратного излучений, причем эти различия могут существовать изначально (например, по мощности) либо создаваться одним из элементов, входящим в состав вентиля (по поляризации, частоте, фазе).</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Различие в интенсивностях прямого и обратного излучений используется в вентиле, предназначенном для работы в многокаскадных лазерных </w:t>
      </w:r>
      <w:r>
        <w:rPr>
          <w:rFonts w:ascii="Times New Roman" w:hAnsi="Times New Roman"/>
          <w:color w:val="343434"/>
          <w:sz w:val="28"/>
          <w:szCs w:val="28"/>
          <w:lang w:eastAsia="ru-RU"/>
        </w:rPr>
        <w:lastRenderedPageBreak/>
        <w:t xml:space="preserve">усилителях для предотвращения самовозбуждения. Обратный луч высокой мощности при прохождении через ячейку вентиля со средой, обладающей тепловой </w:t>
      </w:r>
      <w:proofErr w:type="spellStart"/>
      <w:r>
        <w:rPr>
          <w:rFonts w:ascii="Times New Roman" w:hAnsi="Times New Roman"/>
          <w:color w:val="343434"/>
          <w:sz w:val="28"/>
          <w:szCs w:val="28"/>
          <w:lang w:eastAsia="ru-RU"/>
        </w:rPr>
        <w:t>дефокусировкой</w:t>
      </w:r>
      <w:proofErr w:type="spellEnd"/>
      <w:r>
        <w:rPr>
          <w:rFonts w:ascii="Times New Roman" w:hAnsi="Times New Roman"/>
          <w:color w:val="343434"/>
          <w:sz w:val="28"/>
          <w:szCs w:val="28"/>
          <w:lang w:eastAsia="ru-RU"/>
        </w:rPr>
        <w:t>, создает на своем пути нелинейную термическую линзу. Поглощающая среда приводится с помощью насоса в движение в направлении, перпендикулярном оптической оси ячейки, вследствие чего ось нелинейной тепловой линзы не будет совпадать с оптической осью ячейки, поэтому обратный луч высокой мощности при выходе из ячейки будет распространяться в направлении, не совпадающем с оптической осью вентиля. Затем это излучение поглощается угловым селектором, представляющим собой совокупность двух последовательно расположенных собирающих линз, между которыми установлена диафрагма с отверстием малого диаметра. Вентиль такого типа может функционировать и без прокачки. В этом случае нелинейная тепловая линза превращает обратный пучок в расходящийся, который фокусируется линзой на диафрагму в виде пятна. Размер пятна значительно больше отверстия в диаметре, поэтому почти весь обратный луч гасится на диафрагме. В качестве поглощающей среды в оптическом вентиле такого типа используется смесь углекислого газа с воздухом или пропаном.</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В оптических вентилях, использующих различие прямого и обратного излучения по частоте, разность частот обеспечивается применением акустооптического </w:t>
      </w:r>
      <w:proofErr w:type="spellStart"/>
      <w:r>
        <w:rPr>
          <w:rFonts w:ascii="Times New Roman" w:hAnsi="Times New Roman"/>
          <w:color w:val="343434"/>
          <w:sz w:val="28"/>
          <w:szCs w:val="28"/>
          <w:lang w:eastAsia="ru-RU"/>
        </w:rPr>
        <w:t>брэгговского</w:t>
      </w:r>
      <w:proofErr w:type="spellEnd"/>
      <w:r>
        <w:rPr>
          <w:rFonts w:ascii="Times New Roman" w:hAnsi="Times New Roman"/>
          <w:color w:val="343434"/>
          <w:sz w:val="28"/>
          <w:szCs w:val="28"/>
          <w:lang w:eastAsia="ru-RU"/>
        </w:rPr>
        <w:t xml:space="preserve"> модулятора, который расположен на пути прямого луча после фильтра, частота максимума пропускания которого совпадает с частотой прямого излучения. Обратный луч после прохождения через модулятор будет иметь частоту, отличающуюся от частоты прямого луча на удвоенную величину акустической частоты, поэтому фильтр (интерферометр </w:t>
      </w:r>
      <w:proofErr w:type="gramStart"/>
      <w:r>
        <w:rPr>
          <w:rFonts w:ascii="Times New Roman" w:hAnsi="Times New Roman"/>
          <w:color w:val="343434"/>
          <w:sz w:val="28"/>
          <w:szCs w:val="28"/>
          <w:lang w:eastAsia="ru-RU"/>
        </w:rPr>
        <w:t>Фабри-Перо</w:t>
      </w:r>
      <w:proofErr w:type="gramEnd"/>
      <w:r>
        <w:rPr>
          <w:rFonts w:ascii="Times New Roman" w:hAnsi="Times New Roman"/>
          <w:color w:val="343434"/>
          <w:sz w:val="28"/>
          <w:szCs w:val="28"/>
          <w:lang w:eastAsia="ru-RU"/>
        </w:rPr>
        <w:t>) не пропустит излучение в обратном направлении.</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Фазовые различия могут быть использованы в вентилях-интерферометрах, в одном из плеч которых имеется магнитооптическая среда. Набег фазы в таком плече будет зависеть от направления распространения света, то есть в данном случае используется </w:t>
      </w:r>
      <w:proofErr w:type="spellStart"/>
      <w:r>
        <w:rPr>
          <w:rFonts w:ascii="Times New Roman" w:hAnsi="Times New Roman"/>
          <w:color w:val="343434"/>
          <w:sz w:val="28"/>
          <w:szCs w:val="28"/>
          <w:lang w:eastAsia="ru-RU"/>
        </w:rPr>
        <w:t>невзаимность</w:t>
      </w:r>
      <w:proofErr w:type="spellEnd"/>
      <w:r>
        <w:rPr>
          <w:rFonts w:ascii="Times New Roman" w:hAnsi="Times New Roman"/>
          <w:color w:val="343434"/>
          <w:sz w:val="28"/>
          <w:szCs w:val="28"/>
          <w:lang w:eastAsia="ru-RU"/>
        </w:rPr>
        <w:t xml:space="preserve"> магнитооптического эффекта Фарадея.</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Разницу в поляризации прямого и обратного лучей используют при построении различных вариантов оптических вентилей. Например, для оптических систем с циркулярной поляризацией (или только правой, или только левой) возможно применение вентиля, в котором прямой луч последовательно проходит через поляризатор и четвертьволновую пластину, в результате чего он становится циркулярно поляризованным. Обратное излучение превращается четвертьволновой пластинкой из циркулярно-поляризованного в линейно-поляризованное, но с плоскостью поляризации, перпендикулярной плоскости поляризации прямого луча, и, следовательно, не может пройти через поляризатор.</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При сравнении различных типов вентилей следует указать на безусловную универсальность и высокое качество развязки поляризационных магнитооптических вентилей, и прежде всего – использующих магнитооптический эффект Фарадея. Этот вид вентилей является единственным в настоящее время техническим решением, позволяющим получить в принципе совершенную оптическую развязку. Такое положение можно объяснить наличием поляризационных селекторов высокого качества (</w:t>
      </w:r>
      <w:proofErr w:type="spellStart"/>
      <w:r>
        <w:rPr>
          <w:rFonts w:ascii="Times New Roman" w:hAnsi="Times New Roman"/>
          <w:color w:val="343434"/>
          <w:sz w:val="28"/>
          <w:szCs w:val="28"/>
          <w:lang w:eastAsia="ru-RU"/>
        </w:rPr>
        <w:t>дихроичные</w:t>
      </w:r>
      <w:proofErr w:type="spellEnd"/>
      <w:r>
        <w:rPr>
          <w:rFonts w:ascii="Times New Roman" w:hAnsi="Times New Roman"/>
          <w:color w:val="343434"/>
          <w:sz w:val="28"/>
          <w:szCs w:val="28"/>
          <w:lang w:eastAsia="ru-RU"/>
        </w:rPr>
        <w:t xml:space="preserve"> поляризаторы, поляризационные и </w:t>
      </w:r>
      <w:proofErr w:type="spellStart"/>
      <w:r>
        <w:rPr>
          <w:rFonts w:ascii="Times New Roman" w:hAnsi="Times New Roman"/>
          <w:color w:val="343434"/>
          <w:sz w:val="28"/>
          <w:szCs w:val="28"/>
          <w:lang w:eastAsia="ru-RU"/>
        </w:rPr>
        <w:t>двулучепреломляющие</w:t>
      </w:r>
      <w:proofErr w:type="spellEnd"/>
      <w:r>
        <w:rPr>
          <w:rFonts w:ascii="Times New Roman" w:hAnsi="Times New Roman"/>
          <w:color w:val="343434"/>
          <w:sz w:val="28"/>
          <w:szCs w:val="28"/>
          <w:lang w:eastAsia="ru-RU"/>
        </w:rPr>
        <w:t xml:space="preserve"> призмы) и разработкой в последние 10¸15 лет магнитооптических ротаторов, удовлетворяющих требованиям, вытекающим из практических потребностей. Ввиду универсальности магнитооптических вентилей они и будут рассматриваться ниже. Работа оптического вентиля основана на использовании различий в параметрах прямого и обратного излучений, причем эти различия могут существовать изначально (например, по мощности) либо создаваться одним из элементов, входящим в состав вентиля (по поляризации, частоте, фазе).</w:t>
      </w:r>
    </w:p>
    <w:p w:rsidR="004549C3" w:rsidRDefault="004549C3" w:rsidP="004549C3">
      <w:pPr>
        <w:pStyle w:val="a3"/>
        <w:rPr>
          <w:rFonts w:ascii="Times New Roman" w:hAnsi="Times New Roman"/>
          <w:color w:val="343434"/>
          <w:sz w:val="28"/>
          <w:szCs w:val="28"/>
          <w:lang w:eastAsia="ru-RU"/>
        </w:rPr>
      </w:pPr>
      <w:r>
        <w:rPr>
          <w:rFonts w:ascii="Times New Roman" w:hAnsi="Times New Roman"/>
          <w:bCs/>
          <w:color w:val="343434"/>
          <w:sz w:val="28"/>
          <w:szCs w:val="28"/>
          <w:lang w:eastAsia="ru-RU"/>
        </w:rPr>
        <w:t>10.3 Технические параметры оптических вентилей</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Современные требования к оптической развязке делают довольно сложной задачу создания магнитооптического вентиля, который должен иметь следующие основные характеристики:</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1. Величина развязки (отношение интенсивностей прямого и обратного излучения, прошедшего через вентиль) в зависимости от назначения оптической системы должна лежать обычно в пределах 20…60 дБ. В особых случаях требуется большая развязка (до 80 дБ). В случае использования вентиля для изоляции лазера развязка должна обеспечивать снижение величины обратного излучения до уровня, при котором оно не влияет на характеристики лазера, важные для данной оптической системы. Препятствием для получения высоких значений развязки, как правило, является температурная и дисперсионная зависимость </w:t>
      </w:r>
      <w:proofErr w:type="spellStart"/>
      <w:r>
        <w:rPr>
          <w:rFonts w:ascii="Times New Roman" w:hAnsi="Times New Roman"/>
          <w:color w:val="343434"/>
          <w:sz w:val="28"/>
          <w:szCs w:val="28"/>
          <w:lang w:eastAsia="ru-RU"/>
        </w:rPr>
        <w:t>фарадеевского</w:t>
      </w:r>
      <w:proofErr w:type="spellEnd"/>
      <w:r>
        <w:rPr>
          <w:rFonts w:ascii="Times New Roman" w:hAnsi="Times New Roman"/>
          <w:color w:val="343434"/>
          <w:sz w:val="28"/>
          <w:szCs w:val="28"/>
          <w:lang w:eastAsia="ru-RU"/>
        </w:rPr>
        <w:t xml:space="preserve"> вращения, недостаточно высокая величина коэффициента экстинкции поляризаторов вместе с </w:t>
      </w:r>
      <w:proofErr w:type="spellStart"/>
      <w:r>
        <w:rPr>
          <w:rFonts w:ascii="Times New Roman" w:hAnsi="Times New Roman"/>
          <w:color w:val="343434"/>
          <w:sz w:val="28"/>
          <w:szCs w:val="28"/>
          <w:lang w:eastAsia="ru-RU"/>
        </w:rPr>
        <w:t>фарадеевскими</w:t>
      </w:r>
      <w:proofErr w:type="spellEnd"/>
      <w:r>
        <w:rPr>
          <w:rFonts w:ascii="Times New Roman" w:hAnsi="Times New Roman"/>
          <w:color w:val="343434"/>
          <w:sz w:val="28"/>
          <w:szCs w:val="28"/>
          <w:lang w:eastAsia="ru-RU"/>
        </w:rPr>
        <w:t xml:space="preserve"> элементами (</w:t>
      </w:r>
      <w:proofErr w:type="spellStart"/>
      <w:r>
        <w:rPr>
          <w:rFonts w:ascii="Times New Roman" w:hAnsi="Times New Roman"/>
          <w:color w:val="343434"/>
          <w:sz w:val="28"/>
          <w:szCs w:val="28"/>
          <w:lang w:eastAsia="ru-RU"/>
        </w:rPr>
        <w:t>фарадеевскими</w:t>
      </w:r>
      <w:proofErr w:type="spellEnd"/>
      <w:r>
        <w:rPr>
          <w:rFonts w:ascii="Times New Roman" w:hAnsi="Times New Roman"/>
          <w:color w:val="343434"/>
          <w:sz w:val="28"/>
          <w:szCs w:val="28"/>
          <w:lang w:eastAsia="ru-RU"/>
        </w:rPr>
        <w:t xml:space="preserve"> </w:t>
      </w:r>
      <w:proofErr w:type="spellStart"/>
      <w:r>
        <w:rPr>
          <w:rFonts w:ascii="Times New Roman" w:hAnsi="Times New Roman"/>
          <w:color w:val="343434"/>
          <w:sz w:val="28"/>
          <w:szCs w:val="28"/>
          <w:lang w:eastAsia="ru-RU"/>
        </w:rPr>
        <w:t>вращателями</w:t>
      </w:r>
      <w:proofErr w:type="spellEnd"/>
      <w:r>
        <w:rPr>
          <w:rFonts w:ascii="Times New Roman" w:hAnsi="Times New Roman"/>
          <w:color w:val="343434"/>
          <w:sz w:val="28"/>
          <w:szCs w:val="28"/>
          <w:lang w:eastAsia="ru-RU"/>
        </w:rPr>
        <w:t>), заметные отражения от элементов вентиля.</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2. Вносимые потери не должны превышать 1…5 дБ. Они определяются поглощением в элементах вентиля (как правило, в основном в </w:t>
      </w:r>
      <w:proofErr w:type="spellStart"/>
      <w:r>
        <w:rPr>
          <w:rFonts w:ascii="Times New Roman" w:hAnsi="Times New Roman"/>
          <w:color w:val="343434"/>
          <w:sz w:val="28"/>
          <w:szCs w:val="28"/>
          <w:lang w:eastAsia="ru-RU"/>
        </w:rPr>
        <w:t>фарадеевском</w:t>
      </w:r>
      <w:proofErr w:type="spellEnd"/>
      <w:r>
        <w:rPr>
          <w:rFonts w:ascii="Times New Roman" w:hAnsi="Times New Roman"/>
          <w:color w:val="343434"/>
          <w:sz w:val="28"/>
          <w:szCs w:val="28"/>
          <w:lang w:eastAsia="ru-RU"/>
        </w:rPr>
        <w:t xml:space="preserve"> </w:t>
      </w:r>
      <w:proofErr w:type="spellStart"/>
      <w:r>
        <w:rPr>
          <w:rFonts w:ascii="Times New Roman" w:hAnsi="Times New Roman"/>
          <w:color w:val="343434"/>
          <w:sz w:val="28"/>
          <w:szCs w:val="28"/>
          <w:lang w:eastAsia="ru-RU"/>
        </w:rPr>
        <w:t>вращателе</w:t>
      </w:r>
      <w:proofErr w:type="spellEnd"/>
      <w:r>
        <w:rPr>
          <w:rFonts w:ascii="Times New Roman" w:hAnsi="Times New Roman"/>
          <w:color w:val="343434"/>
          <w:sz w:val="28"/>
          <w:szCs w:val="28"/>
          <w:lang w:eastAsia="ru-RU"/>
        </w:rPr>
        <w:t xml:space="preserve">),  отражениями от вентиля, дифракционными потерями и </w:t>
      </w:r>
      <w:proofErr w:type="spellStart"/>
      <w:r>
        <w:rPr>
          <w:rFonts w:ascii="Times New Roman" w:hAnsi="Times New Roman"/>
          <w:color w:val="343434"/>
          <w:sz w:val="28"/>
          <w:szCs w:val="28"/>
          <w:lang w:eastAsia="ru-RU"/>
        </w:rPr>
        <w:t>несоосность</w:t>
      </w:r>
      <w:proofErr w:type="spellEnd"/>
      <w:r>
        <w:rPr>
          <w:rFonts w:ascii="Times New Roman" w:hAnsi="Times New Roman"/>
          <w:color w:val="343434"/>
          <w:sz w:val="28"/>
          <w:szCs w:val="28"/>
          <w:lang w:eastAsia="ru-RU"/>
        </w:rPr>
        <w:t xml:space="preserve"> элементов.</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3. Отражения от вентиля не должны превышать десятых долей процента.</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4. Должна быть обеспечена надежность и простота соединения вентиля с другими оптическими элементами (лазер, и/или волокно).</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5. </w:t>
      </w:r>
      <w:proofErr w:type="spellStart"/>
      <w:r>
        <w:rPr>
          <w:rFonts w:ascii="Times New Roman" w:hAnsi="Times New Roman"/>
          <w:color w:val="343434"/>
          <w:sz w:val="28"/>
          <w:szCs w:val="28"/>
          <w:lang w:eastAsia="ru-RU"/>
        </w:rPr>
        <w:t>Термостабильность</w:t>
      </w:r>
      <w:proofErr w:type="spellEnd"/>
      <w:r>
        <w:rPr>
          <w:rFonts w:ascii="Times New Roman" w:hAnsi="Times New Roman"/>
          <w:color w:val="343434"/>
          <w:sz w:val="28"/>
          <w:szCs w:val="28"/>
          <w:lang w:eastAsia="ru-RU"/>
        </w:rPr>
        <w:t xml:space="preserve"> параметров вентиля должна быть согласована с изменением длины волны излучения лазера в диапазоне температур –50…+100</w:t>
      </w:r>
      <w:r>
        <w:rPr>
          <w:rFonts w:ascii="Times New Roman" w:hAnsi="Times New Roman"/>
          <w:color w:val="343434"/>
          <w:sz w:val="28"/>
          <w:szCs w:val="28"/>
          <w:vertAlign w:val="superscript"/>
          <w:lang w:eastAsia="ru-RU"/>
        </w:rPr>
        <w:t>0</w:t>
      </w:r>
      <w:r>
        <w:rPr>
          <w:rFonts w:ascii="Times New Roman" w:hAnsi="Times New Roman"/>
          <w:color w:val="343434"/>
          <w:sz w:val="28"/>
          <w:szCs w:val="28"/>
          <w:lang w:eastAsia="ru-RU"/>
        </w:rPr>
        <w:t> С.</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6. Должны быть обеспечены: достаточная </w:t>
      </w:r>
      <w:proofErr w:type="spellStart"/>
      <w:r>
        <w:rPr>
          <w:rFonts w:ascii="Times New Roman" w:hAnsi="Times New Roman"/>
          <w:color w:val="343434"/>
          <w:sz w:val="28"/>
          <w:szCs w:val="28"/>
          <w:lang w:eastAsia="ru-RU"/>
        </w:rPr>
        <w:t>широкополосность</w:t>
      </w:r>
      <w:proofErr w:type="spellEnd"/>
      <w:r>
        <w:rPr>
          <w:rFonts w:ascii="Times New Roman" w:hAnsi="Times New Roman"/>
          <w:color w:val="343434"/>
          <w:sz w:val="28"/>
          <w:szCs w:val="28"/>
          <w:lang w:eastAsia="ru-RU"/>
        </w:rPr>
        <w:t>; максимально возможная микроминиатюризация элементов вентиля; технологичность изготовления; низкая стоимость.</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Из-за невозможности удовлетворения всем этим требованиям одновременно в задачах выбора оптического вентиля в телекоммуникационных системах обычно приходится искать компромиссные варианты.</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Примеры оптических вентилей зарубежных фирм представлены в таблице 10.1.</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Таблица 10.1 – Технические параметры оптических изоляторов</w:t>
      </w:r>
    </w:p>
    <w:tbl>
      <w:tblPr>
        <w:tblW w:w="10095" w:type="dxa"/>
        <w:jc w:val="center"/>
        <w:tblCellSpacing w:w="0" w:type="dxa"/>
        <w:tblInd w:w="-30" w:type="dxa"/>
        <w:tblCellMar>
          <w:left w:w="0" w:type="dxa"/>
          <w:right w:w="0" w:type="dxa"/>
        </w:tblCellMar>
        <w:tblLook w:val="04A0" w:firstRow="1" w:lastRow="0" w:firstColumn="1" w:lastColumn="0" w:noHBand="0" w:noVBand="1"/>
      </w:tblPr>
      <w:tblGrid>
        <w:gridCol w:w="1407"/>
        <w:gridCol w:w="960"/>
        <w:gridCol w:w="987"/>
        <w:gridCol w:w="960"/>
        <w:gridCol w:w="1001"/>
        <w:gridCol w:w="950"/>
        <w:gridCol w:w="978"/>
        <w:gridCol w:w="931"/>
        <w:gridCol w:w="813"/>
        <w:gridCol w:w="268"/>
        <w:gridCol w:w="510"/>
        <w:gridCol w:w="49"/>
        <w:gridCol w:w="281"/>
      </w:tblGrid>
      <w:tr w:rsidR="004549C3" w:rsidTr="004549C3">
        <w:trPr>
          <w:tblCellSpacing w:w="0" w:type="dxa"/>
          <w:jc w:val="center"/>
        </w:trPr>
        <w:tc>
          <w:tcPr>
            <w:tcW w:w="1419" w:type="dxa"/>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c>
          <w:tcPr>
            <w:tcW w:w="8646" w:type="dxa"/>
            <w:gridSpan w:val="12"/>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Производитель</w:t>
            </w:r>
          </w:p>
        </w:tc>
      </w:tr>
      <w:tr w:rsidR="004549C3" w:rsidTr="004549C3">
        <w:trPr>
          <w:tblCellSpacing w:w="0" w:type="dxa"/>
          <w:jc w:val="center"/>
        </w:trPr>
        <w:tc>
          <w:tcPr>
            <w:tcW w:w="1419" w:type="dxa"/>
            <w:vMerge w:val="restart"/>
            <w:hideMark/>
          </w:tcPr>
          <w:p w:rsidR="004549C3" w:rsidRDefault="004549C3">
            <w:pPr>
              <w:pStyle w:val="a3"/>
              <w:spacing w:line="276" w:lineRule="auto"/>
              <w:rPr>
                <w:rFonts w:ascii="Times New Roman" w:hAnsi="Times New Roman"/>
                <w:color w:val="343434"/>
                <w:sz w:val="28"/>
                <w:szCs w:val="28"/>
                <w:lang w:eastAsia="ru-RU"/>
              </w:rPr>
            </w:pPr>
            <w:proofErr w:type="spellStart"/>
            <w:proofErr w:type="gramStart"/>
            <w:r>
              <w:rPr>
                <w:rFonts w:ascii="Times New Roman" w:hAnsi="Times New Roman"/>
                <w:color w:val="343434"/>
                <w:sz w:val="28"/>
                <w:szCs w:val="28"/>
                <w:lang w:eastAsia="ru-RU"/>
              </w:rPr>
              <w:t>Характе-ристики</w:t>
            </w:r>
            <w:proofErr w:type="spellEnd"/>
            <w:proofErr w:type="gramEnd"/>
          </w:p>
        </w:tc>
        <w:tc>
          <w:tcPr>
            <w:tcW w:w="3955" w:type="dxa"/>
            <w:gridSpan w:val="4"/>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AFO</w:t>
            </w:r>
          </w:p>
        </w:tc>
        <w:tc>
          <w:tcPr>
            <w:tcW w:w="2943" w:type="dxa"/>
            <w:gridSpan w:val="3"/>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NEC</w:t>
            </w:r>
          </w:p>
        </w:tc>
        <w:tc>
          <w:tcPr>
            <w:tcW w:w="1681" w:type="dxa"/>
            <w:gridSpan w:val="4"/>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EOT и OFR</w:t>
            </w:r>
          </w:p>
        </w:tc>
        <w:tc>
          <w:tcPr>
            <w:tcW w:w="67"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r>
      <w:tr w:rsidR="004549C3" w:rsidTr="004549C3">
        <w:trPr>
          <w:tblCellSpacing w:w="0" w:type="dxa"/>
          <w:jc w:val="center"/>
        </w:trPr>
        <w:tc>
          <w:tcPr>
            <w:tcW w:w="0" w:type="auto"/>
            <w:vMerge/>
            <w:vAlign w:val="center"/>
            <w:hideMark/>
          </w:tcPr>
          <w:p w:rsidR="004549C3" w:rsidRDefault="004549C3">
            <w:pPr>
              <w:spacing w:after="0" w:line="240" w:lineRule="auto"/>
              <w:rPr>
                <w:rFonts w:ascii="Times New Roman" w:hAnsi="Times New Roman"/>
                <w:color w:val="343434"/>
                <w:sz w:val="28"/>
                <w:szCs w:val="28"/>
                <w:lang w:eastAsia="ru-RU"/>
              </w:rPr>
            </w:pPr>
          </w:p>
        </w:tc>
        <w:tc>
          <w:tcPr>
            <w:tcW w:w="1970" w:type="dxa"/>
            <w:gridSpan w:val="2"/>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Значения</w:t>
            </w:r>
            <w:proofErr w:type="gramStart"/>
            <w:r>
              <w:rPr>
                <w:rFonts w:ascii="Times New Roman" w:hAnsi="Times New Roman"/>
                <w:color w:val="343434"/>
                <w:sz w:val="28"/>
                <w:szCs w:val="28"/>
                <w:lang w:eastAsia="ru-RU"/>
              </w:rPr>
              <w:t xml:space="preserve"> А</w:t>
            </w:r>
            <w:proofErr w:type="gramEnd"/>
          </w:p>
        </w:tc>
        <w:tc>
          <w:tcPr>
            <w:tcW w:w="1985" w:type="dxa"/>
            <w:gridSpan w:val="2"/>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Значения</w:t>
            </w:r>
            <w:proofErr w:type="gramStart"/>
            <w:r>
              <w:rPr>
                <w:rFonts w:ascii="Times New Roman" w:hAnsi="Times New Roman"/>
                <w:color w:val="343434"/>
                <w:sz w:val="28"/>
                <w:szCs w:val="28"/>
                <w:lang w:eastAsia="ru-RU"/>
              </w:rPr>
              <w:t xml:space="preserve"> В</w:t>
            </w:r>
            <w:proofErr w:type="gramEnd"/>
          </w:p>
        </w:tc>
        <w:tc>
          <w:tcPr>
            <w:tcW w:w="980" w:type="dxa"/>
            <w:vMerge w:val="restart"/>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OD-8312</w:t>
            </w:r>
          </w:p>
        </w:tc>
        <w:tc>
          <w:tcPr>
            <w:tcW w:w="1010" w:type="dxa"/>
            <w:vMerge w:val="restart"/>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OD-8313</w:t>
            </w:r>
          </w:p>
        </w:tc>
        <w:tc>
          <w:tcPr>
            <w:tcW w:w="953" w:type="dxa"/>
            <w:vMerge w:val="restart"/>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OD-8313-C</w:t>
            </w:r>
          </w:p>
        </w:tc>
        <w:tc>
          <w:tcPr>
            <w:tcW w:w="833" w:type="dxa"/>
            <w:vMerge w:val="restart"/>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IO-G-1310</w:t>
            </w:r>
          </w:p>
        </w:tc>
        <w:tc>
          <w:tcPr>
            <w:tcW w:w="848" w:type="dxa"/>
            <w:gridSpan w:val="3"/>
            <w:vMerge w:val="restart"/>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IO-G-1550</w:t>
            </w:r>
          </w:p>
        </w:tc>
        <w:tc>
          <w:tcPr>
            <w:tcW w:w="67"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r>
      <w:tr w:rsidR="004549C3" w:rsidTr="004549C3">
        <w:trPr>
          <w:tblCellSpacing w:w="0" w:type="dxa"/>
          <w:jc w:val="center"/>
        </w:trPr>
        <w:tc>
          <w:tcPr>
            <w:tcW w:w="0" w:type="auto"/>
            <w:vMerge/>
            <w:vAlign w:val="center"/>
            <w:hideMark/>
          </w:tcPr>
          <w:p w:rsidR="004549C3" w:rsidRDefault="004549C3">
            <w:pPr>
              <w:spacing w:after="0" w:line="240" w:lineRule="auto"/>
              <w:rPr>
                <w:rFonts w:ascii="Times New Roman" w:hAnsi="Times New Roman"/>
                <w:color w:val="343434"/>
                <w:sz w:val="28"/>
                <w:szCs w:val="28"/>
                <w:lang w:eastAsia="ru-RU"/>
              </w:rPr>
            </w:pPr>
          </w:p>
        </w:tc>
        <w:tc>
          <w:tcPr>
            <w:tcW w:w="982"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Стан-</w:t>
            </w:r>
            <w:proofErr w:type="spellStart"/>
            <w:r>
              <w:rPr>
                <w:rFonts w:ascii="Times New Roman" w:hAnsi="Times New Roman"/>
                <w:color w:val="343434"/>
                <w:sz w:val="28"/>
                <w:szCs w:val="28"/>
                <w:lang w:eastAsia="ru-RU"/>
              </w:rPr>
              <w:t>дарт</w:t>
            </w:r>
            <w:proofErr w:type="spellEnd"/>
            <w:r>
              <w:rPr>
                <w:rFonts w:ascii="Times New Roman" w:hAnsi="Times New Roman"/>
                <w:color w:val="343434"/>
                <w:sz w:val="28"/>
                <w:szCs w:val="28"/>
                <w:lang w:eastAsia="ru-RU"/>
              </w:rPr>
              <w:t>-</w:t>
            </w:r>
            <w:proofErr w:type="spellStart"/>
            <w:r>
              <w:rPr>
                <w:rFonts w:ascii="Times New Roman" w:hAnsi="Times New Roman"/>
                <w:color w:val="343434"/>
                <w:sz w:val="28"/>
                <w:szCs w:val="28"/>
                <w:lang w:eastAsia="ru-RU"/>
              </w:rPr>
              <w:t>ный</w:t>
            </w:r>
            <w:proofErr w:type="spellEnd"/>
          </w:p>
        </w:tc>
        <w:tc>
          <w:tcPr>
            <w:tcW w:w="988" w:type="dxa"/>
            <w:vAlign w:val="center"/>
            <w:hideMark/>
          </w:tcPr>
          <w:p w:rsidR="004549C3" w:rsidRDefault="004549C3">
            <w:pPr>
              <w:pStyle w:val="a3"/>
              <w:spacing w:line="276" w:lineRule="auto"/>
              <w:rPr>
                <w:rFonts w:ascii="Times New Roman" w:hAnsi="Times New Roman"/>
                <w:color w:val="343434"/>
                <w:sz w:val="28"/>
                <w:szCs w:val="28"/>
                <w:lang w:eastAsia="ru-RU"/>
              </w:rPr>
            </w:pPr>
            <w:proofErr w:type="spellStart"/>
            <w:proofErr w:type="gramStart"/>
            <w:r>
              <w:rPr>
                <w:rFonts w:ascii="Times New Roman" w:hAnsi="Times New Roman"/>
                <w:color w:val="343434"/>
                <w:sz w:val="28"/>
                <w:szCs w:val="28"/>
                <w:lang w:eastAsia="ru-RU"/>
              </w:rPr>
              <w:t>Улуч-шенный</w:t>
            </w:r>
            <w:proofErr w:type="spellEnd"/>
            <w:proofErr w:type="gramEnd"/>
          </w:p>
        </w:tc>
        <w:tc>
          <w:tcPr>
            <w:tcW w:w="982"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Стан-</w:t>
            </w:r>
            <w:proofErr w:type="spellStart"/>
            <w:r>
              <w:rPr>
                <w:rFonts w:ascii="Times New Roman" w:hAnsi="Times New Roman"/>
                <w:color w:val="343434"/>
                <w:sz w:val="28"/>
                <w:szCs w:val="28"/>
                <w:lang w:eastAsia="ru-RU"/>
              </w:rPr>
              <w:t>дарт</w:t>
            </w:r>
            <w:proofErr w:type="spellEnd"/>
            <w:r>
              <w:rPr>
                <w:rFonts w:ascii="Times New Roman" w:hAnsi="Times New Roman"/>
                <w:color w:val="343434"/>
                <w:sz w:val="28"/>
                <w:szCs w:val="28"/>
                <w:lang w:eastAsia="ru-RU"/>
              </w:rPr>
              <w:t>-</w:t>
            </w:r>
            <w:proofErr w:type="spellStart"/>
            <w:r>
              <w:rPr>
                <w:rFonts w:ascii="Times New Roman" w:hAnsi="Times New Roman"/>
                <w:color w:val="343434"/>
                <w:sz w:val="28"/>
                <w:szCs w:val="28"/>
                <w:lang w:eastAsia="ru-RU"/>
              </w:rPr>
              <w:t>ный</w:t>
            </w:r>
            <w:proofErr w:type="spellEnd"/>
          </w:p>
        </w:tc>
        <w:tc>
          <w:tcPr>
            <w:tcW w:w="1003" w:type="dxa"/>
            <w:vAlign w:val="center"/>
            <w:hideMark/>
          </w:tcPr>
          <w:p w:rsidR="004549C3" w:rsidRDefault="004549C3">
            <w:pPr>
              <w:pStyle w:val="a3"/>
              <w:spacing w:line="276" w:lineRule="auto"/>
              <w:rPr>
                <w:rFonts w:ascii="Times New Roman" w:hAnsi="Times New Roman"/>
                <w:color w:val="343434"/>
                <w:sz w:val="28"/>
                <w:szCs w:val="28"/>
                <w:lang w:eastAsia="ru-RU"/>
              </w:rPr>
            </w:pPr>
            <w:proofErr w:type="spellStart"/>
            <w:proofErr w:type="gramStart"/>
            <w:r>
              <w:rPr>
                <w:rFonts w:ascii="Times New Roman" w:hAnsi="Times New Roman"/>
                <w:color w:val="343434"/>
                <w:sz w:val="28"/>
                <w:szCs w:val="28"/>
                <w:lang w:eastAsia="ru-RU"/>
              </w:rPr>
              <w:t>Улуч-шенный</w:t>
            </w:r>
            <w:proofErr w:type="spellEnd"/>
            <w:proofErr w:type="gramEnd"/>
          </w:p>
        </w:tc>
        <w:tc>
          <w:tcPr>
            <w:tcW w:w="0" w:type="auto"/>
            <w:vMerge/>
            <w:vAlign w:val="center"/>
            <w:hideMark/>
          </w:tcPr>
          <w:p w:rsidR="004549C3" w:rsidRDefault="004549C3">
            <w:pPr>
              <w:spacing w:after="0" w:line="240" w:lineRule="auto"/>
              <w:rPr>
                <w:rFonts w:ascii="Times New Roman" w:hAnsi="Times New Roman"/>
                <w:color w:val="343434"/>
                <w:sz w:val="28"/>
                <w:szCs w:val="28"/>
                <w:lang w:eastAsia="ru-RU"/>
              </w:rPr>
            </w:pPr>
          </w:p>
        </w:tc>
        <w:tc>
          <w:tcPr>
            <w:tcW w:w="0" w:type="auto"/>
            <w:vMerge/>
            <w:vAlign w:val="center"/>
            <w:hideMark/>
          </w:tcPr>
          <w:p w:rsidR="004549C3" w:rsidRDefault="004549C3">
            <w:pPr>
              <w:spacing w:after="0" w:line="240" w:lineRule="auto"/>
              <w:rPr>
                <w:rFonts w:ascii="Times New Roman" w:hAnsi="Times New Roman"/>
                <w:color w:val="343434"/>
                <w:sz w:val="28"/>
                <w:szCs w:val="28"/>
                <w:lang w:eastAsia="ru-RU"/>
              </w:rPr>
            </w:pPr>
          </w:p>
        </w:tc>
        <w:tc>
          <w:tcPr>
            <w:tcW w:w="0" w:type="auto"/>
            <w:vMerge/>
            <w:vAlign w:val="center"/>
            <w:hideMark/>
          </w:tcPr>
          <w:p w:rsidR="004549C3" w:rsidRDefault="004549C3">
            <w:pPr>
              <w:spacing w:after="0" w:line="240" w:lineRule="auto"/>
              <w:rPr>
                <w:rFonts w:ascii="Times New Roman" w:hAnsi="Times New Roman"/>
                <w:color w:val="343434"/>
                <w:sz w:val="28"/>
                <w:szCs w:val="28"/>
                <w:lang w:eastAsia="ru-RU"/>
              </w:rPr>
            </w:pPr>
          </w:p>
        </w:tc>
        <w:tc>
          <w:tcPr>
            <w:tcW w:w="0" w:type="auto"/>
            <w:vMerge/>
            <w:vAlign w:val="center"/>
            <w:hideMark/>
          </w:tcPr>
          <w:p w:rsidR="004549C3" w:rsidRDefault="004549C3">
            <w:pPr>
              <w:spacing w:after="0" w:line="240" w:lineRule="auto"/>
              <w:rPr>
                <w:rFonts w:ascii="Times New Roman" w:hAnsi="Times New Roman"/>
                <w:color w:val="343434"/>
                <w:sz w:val="28"/>
                <w:szCs w:val="28"/>
                <w:lang w:eastAsia="ru-RU"/>
              </w:rPr>
            </w:pPr>
          </w:p>
        </w:tc>
        <w:tc>
          <w:tcPr>
            <w:tcW w:w="0" w:type="auto"/>
            <w:gridSpan w:val="3"/>
            <w:vMerge/>
            <w:vAlign w:val="center"/>
            <w:hideMark/>
          </w:tcPr>
          <w:p w:rsidR="004549C3" w:rsidRDefault="004549C3">
            <w:pPr>
              <w:spacing w:after="0" w:line="240" w:lineRule="auto"/>
              <w:rPr>
                <w:rFonts w:ascii="Times New Roman" w:hAnsi="Times New Roman"/>
                <w:color w:val="343434"/>
                <w:sz w:val="28"/>
                <w:szCs w:val="28"/>
                <w:lang w:eastAsia="ru-RU"/>
              </w:rPr>
            </w:pPr>
          </w:p>
        </w:tc>
        <w:tc>
          <w:tcPr>
            <w:tcW w:w="67"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r>
      <w:tr w:rsidR="004549C3" w:rsidTr="004549C3">
        <w:trPr>
          <w:tblCellSpacing w:w="0" w:type="dxa"/>
          <w:jc w:val="center"/>
        </w:trPr>
        <w:tc>
          <w:tcPr>
            <w:tcW w:w="1419" w:type="dxa"/>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Изоляция, макс., дБ</w:t>
            </w:r>
          </w:p>
        </w:tc>
        <w:tc>
          <w:tcPr>
            <w:tcW w:w="982"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&gt;38</w:t>
            </w:r>
          </w:p>
        </w:tc>
        <w:tc>
          <w:tcPr>
            <w:tcW w:w="988"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&gt;50</w:t>
            </w:r>
          </w:p>
        </w:tc>
        <w:tc>
          <w:tcPr>
            <w:tcW w:w="982"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&gt;42</w:t>
            </w:r>
          </w:p>
        </w:tc>
        <w:tc>
          <w:tcPr>
            <w:tcW w:w="1003"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&gt;55</w:t>
            </w:r>
          </w:p>
        </w:tc>
        <w:tc>
          <w:tcPr>
            <w:tcW w:w="980"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&gt;25</w:t>
            </w:r>
          </w:p>
        </w:tc>
        <w:tc>
          <w:tcPr>
            <w:tcW w:w="1010"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&gt;20</w:t>
            </w:r>
          </w:p>
        </w:tc>
        <w:tc>
          <w:tcPr>
            <w:tcW w:w="953"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&gt;20</w:t>
            </w:r>
          </w:p>
        </w:tc>
        <w:tc>
          <w:tcPr>
            <w:tcW w:w="833"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848" w:type="dxa"/>
            <w:gridSpan w:val="3"/>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67"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r>
      <w:tr w:rsidR="004549C3" w:rsidTr="004549C3">
        <w:trPr>
          <w:tblCellSpacing w:w="0" w:type="dxa"/>
          <w:jc w:val="center"/>
        </w:trPr>
        <w:tc>
          <w:tcPr>
            <w:tcW w:w="1419" w:type="dxa"/>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Изоляция, ном</w:t>
            </w:r>
            <w:proofErr w:type="gramStart"/>
            <w:r>
              <w:rPr>
                <w:rFonts w:ascii="Times New Roman" w:hAnsi="Times New Roman"/>
                <w:color w:val="343434"/>
                <w:sz w:val="28"/>
                <w:szCs w:val="28"/>
                <w:lang w:eastAsia="ru-RU"/>
              </w:rPr>
              <w:t xml:space="preserve">., </w:t>
            </w:r>
            <w:proofErr w:type="gramEnd"/>
            <w:r>
              <w:rPr>
                <w:rFonts w:ascii="Times New Roman" w:hAnsi="Times New Roman"/>
                <w:color w:val="343434"/>
                <w:sz w:val="28"/>
                <w:szCs w:val="28"/>
                <w:lang w:eastAsia="ru-RU"/>
              </w:rPr>
              <w:t>дБ</w:t>
            </w:r>
          </w:p>
        </w:tc>
        <w:tc>
          <w:tcPr>
            <w:tcW w:w="982"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&gt;28</w:t>
            </w:r>
          </w:p>
        </w:tc>
        <w:tc>
          <w:tcPr>
            <w:tcW w:w="988"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&gt;45</w:t>
            </w:r>
          </w:p>
        </w:tc>
        <w:tc>
          <w:tcPr>
            <w:tcW w:w="982"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&gt;30</w:t>
            </w:r>
          </w:p>
        </w:tc>
        <w:tc>
          <w:tcPr>
            <w:tcW w:w="1003"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&gt;45</w:t>
            </w:r>
          </w:p>
        </w:tc>
        <w:tc>
          <w:tcPr>
            <w:tcW w:w="980"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1010"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953"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833"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848" w:type="dxa"/>
            <w:gridSpan w:val="3"/>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67"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r>
      <w:tr w:rsidR="004549C3" w:rsidTr="004549C3">
        <w:trPr>
          <w:tblCellSpacing w:w="0" w:type="dxa"/>
          <w:jc w:val="center"/>
        </w:trPr>
        <w:tc>
          <w:tcPr>
            <w:tcW w:w="1419" w:type="dxa"/>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xml:space="preserve">Длина волны, </w:t>
            </w:r>
            <w:proofErr w:type="spellStart"/>
            <w:r>
              <w:rPr>
                <w:rFonts w:ascii="Times New Roman" w:hAnsi="Times New Roman"/>
                <w:color w:val="343434"/>
                <w:sz w:val="28"/>
                <w:szCs w:val="28"/>
                <w:lang w:eastAsia="ru-RU"/>
              </w:rPr>
              <w:t>нм</w:t>
            </w:r>
            <w:proofErr w:type="spellEnd"/>
          </w:p>
        </w:tc>
        <w:tc>
          <w:tcPr>
            <w:tcW w:w="3955" w:type="dxa"/>
            <w:gridSpan w:val="4"/>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1310 … 1550</w:t>
            </w:r>
          </w:p>
        </w:tc>
        <w:tc>
          <w:tcPr>
            <w:tcW w:w="980"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850</w:t>
            </w:r>
          </w:p>
        </w:tc>
        <w:tc>
          <w:tcPr>
            <w:tcW w:w="1010"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1300</w:t>
            </w:r>
          </w:p>
        </w:tc>
        <w:tc>
          <w:tcPr>
            <w:tcW w:w="953"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1550</w:t>
            </w:r>
          </w:p>
        </w:tc>
        <w:tc>
          <w:tcPr>
            <w:tcW w:w="833"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1310</w:t>
            </w:r>
          </w:p>
        </w:tc>
        <w:tc>
          <w:tcPr>
            <w:tcW w:w="848" w:type="dxa"/>
            <w:gridSpan w:val="3"/>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1550</w:t>
            </w:r>
          </w:p>
        </w:tc>
        <w:tc>
          <w:tcPr>
            <w:tcW w:w="67"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r>
      <w:tr w:rsidR="004549C3" w:rsidTr="004549C3">
        <w:trPr>
          <w:tblCellSpacing w:w="0" w:type="dxa"/>
          <w:jc w:val="center"/>
        </w:trPr>
        <w:tc>
          <w:tcPr>
            <w:tcW w:w="1419" w:type="dxa"/>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xml:space="preserve">Полоса длин волн, </w:t>
            </w:r>
            <w:proofErr w:type="spellStart"/>
            <w:r>
              <w:rPr>
                <w:rFonts w:ascii="Times New Roman" w:hAnsi="Times New Roman"/>
                <w:color w:val="343434"/>
                <w:sz w:val="28"/>
                <w:szCs w:val="28"/>
                <w:lang w:eastAsia="ru-RU"/>
              </w:rPr>
              <w:t>нм</w:t>
            </w:r>
            <w:proofErr w:type="spellEnd"/>
          </w:p>
        </w:tc>
        <w:tc>
          <w:tcPr>
            <w:tcW w:w="982"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60</w:t>
            </w:r>
          </w:p>
        </w:tc>
        <w:tc>
          <w:tcPr>
            <w:tcW w:w="988"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60</w:t>
            </w:r>
          </w:p>
        </w:tc>
        <w:tc>
          <w:tcPr>
            <w:tcW w:w="982"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30</w:t>
            </w:r>
          </w:p>
        </w:tc>
        <w:tc>
          <w:tcPr>
            <w:tcW w:w="1003"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60</w:t>
            </w:r>
          </w:p>
        </w:tc>
        <w:tc>
          <w:tcPr>
            <w:tcW w:w="980"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1010"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953"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833"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848" w:type="dxa"/>
            <w:gridSpan w:val="3"/>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67"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r>
      <w:tr w:rsidR="004549C3" w:rsidTr="004549C3">
        <w:trPr>
          <w:tblCellSpacing w:w="0" w:type="dxa"/>
          <w:jc w:val="center"/>
        </w:trPr>
        <w:tc>
          <w:tcPr>
            <w:tcW w:w="1419" w:type="dxa"/>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Вносимые потери, ном</w:t>
            </w:r>
            <w:proofErr w:type="gramStart"/>
            <w:r>
              <w:rPr>
                <w:rFonts w:ascii="Times New Roman" w:hAnsi="Times New Roman"/>
                <w:color w:val="343434"/>
                <w:sz w:val="28"/>
                <w:szCs w:val="28"/>
                <w:lang w:eastAsia="ru-RU"/>
              </w:rPr>
              <w:t xml:space="preserve">., </w:t>
            </w:r>
            <w:proofErr w:type="gramEnd"/>
            <w:r>
              <w:rPr>
                <w:rFonts w:ascii="Times New Roman" w:hAnsi="Times New Roman"/>
                <w:color w:val="343434"/>
                <w:sz w:val="28"/>
                <w:szCs w:val="28"/>
                <w:lang w:eastAsia="ru-RU"/>
              </w:rPr>
              <w:t>дБ</w:t>
            </w:r>
          </w:p>
        </w:tc>
        <w:tc>
          <w:tcPr>
            <w:tcW w:w="982"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0,5</w:t>
            </w:r>
          </w:p>
        </w:tc>
        <w:tc>
          <w:tcPr>
            <w:tcW w:w="988"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0,5</w:t>
            </w:r>
          </w:p>
        </w:tc>
        <w:tc>
          <w:tcPr>
            <w:tcW w:w="982"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0,3</w:t>
            </w:r>
          </w:p>
        </w:tc>
        <w:tc>
          <w:tcPr>
            <w:tcW w:w="1003"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0,4</w:t>
            </w:r>
          </w:p>
        </w:tc>
        <w:tc>
          <w:tcPr>
            <w:tcW w:w="980"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1,5</w:t>
            </w:r>
          </w:p>
        </w:tc>
        <w:tc>
          <w:tcPr>
            <w:tcW w:w="1010"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1,5</w:t>
            </w:r>
          </w:p>
        </w:tc>
        <w:tc>
          <w:tcPr>
            <w:tcW w:w="953"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1,5</w:t>
            </w:r>
          </w:p>
        </w:tc>
        <w:tc>
          <w:tcPr>
            <w:tcW w:w="1681" w:type="dxa"/>
            <w:gridSpan w:val="4"/>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0,7</w:t>
            </w:r>
          </w:p>
        </w:tc>
        <w:tc>
          <w:tcPr>
            <w:tcW w:w="67"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r>
      <w:tr w:rsidR="004549C3" w:rsidTr="004549C3">
        <w:trPr>
          <w:tblCellSpacing w:w="0" w:type="dxa"/>
          <w:jc w:val="center"/>
        </w:trPr>
        <w:tc>
          <w:tcPr>
            <w:tcW w:w="1419" w:type="dxa"/>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Вносимые потери, макс., дБ</w:t>
            </w:r>
          </w:p>
        </w:tc>
        <w:tc>
          <w:tcPr>
            <w:tcW w:w="982"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0,7</w:t>
            </w:r>
          </w:p>
        </w:tc>
        <w:tc>
          <w:tcPr>
            <w:tcW w:w="988"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0,7</w:t>
            </w:r>
          </w:p>
        </w:tc>
        <w:tc>
          <w:tcPr>
            <w:tcW w:w="982"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0,5</w:t>
            </w:r>
          </w:p>
        </w:tc>
        <w:tc>
          <w:tcPr>
            <w:tcW w:w="1003"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0,6</w:t>
            </w:r>
          </w:p>
        </w:tc>
        <w:tc>
          <w:tcPr>
            <w:tcW w:w="980"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1010"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953"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
        </w:tc>
        <w:tc>
          <w:tcPr>
            <w:tcW w:w="1681" w:type="dxa"/>
            <w:gridSpan w:val="4"/>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12</w:t>
            </w:r>
          </w:p>
        </w:tc>
        <w:tc>
          <w:tcPr>
            <w:tcW w:w="67" w:type="dxa"/>
            <w:vAlign w:val="center"/>
            <w:hideMark/>
          </w:tcPr>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 </w:t>
            </w:r>
          </w:p>
        </w:tc>
      </w:tr>
      <w:tr w:rsidR="004549C3" w:rsidTr="004549C3">
        <w:trPr>
          <w:gridAfter w:val="2"/>
          <w:wAfter w:w="346" w:type="dxa"/>
          <w:trHeight w:val="390"/>
          <w:tblCellSpacing w:w="0" w:type="dxa"/>
          <w:jc w:val="center"/>
        </w:trPr>
        <w:tc>
          <w:tcPr>
            <w:tcW w:w="0" w:type="auto"/>
            <w:gridSpan w:val="4"/>
            <w:shd w:val="clear" w:color="auto" w:fill="FFFFFF"/>
            <w:tcMar>
              <w:top w:w="30" w:type="dxa"/>
              <w:left w:w="30" w:type="dxa"/>
              <w:bottom w:w="30" w:type="dxa"/>
              <w:right w:w="30" w:type="dxa"/>
            </w:tcMar>
            <w:vAlign w:val="center"/>
          </w:tcPr>
          <w:p w:rsidR="004549C3" w:rsidRDefault="004549C3">
            <w:pPr>
              <w:pStyle w:val="a3"/>
              <w:spacing w:line="276" w:lineRule="auto"/>
              <w:rPr>
                <w:rFonts w:ascii="Times New Roman" w:hAnsi="Times New Roman"/>
                <w:bCs/>
                <w:color w:val="343434"/>
                <w:sz w:val="28"/>
                <w:szCs w:val="28"/>
                <w:lang w:eastAsia="ru-RU"/>
              </w:rPr>
            </w:pPr>
          </w:p>
          <w:p w:rsidR="004549C3" w:rsidRDefault="004549C3">
            <w:pPr>
              <w:pStyle w:val="a3"/>
              <w:spacing w:line="276" w:lineRule="auto"/>
              <w:rPr>
                <w:rFonts w:ascii="Times New Roman" w:hAnsi="Times New Roman"/>
                <w:bCs/>
                <w:color w:val="343434"/>
                <w:sz w:val="28"/>
                <w:szCs w:val="28"/>
                <w:lang w:eastAsia="ru-RU"/>
              </w:rPr>
            </w:pPr>
          </w:p>
          <w:p w:rsidR="004549C3" w:rsidRDefault="004549C3">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10. Оптические вентили</w:t>
            </w:r>
          </w:p>
        </w:tc>
        <w:tc>
          <w:tcPr>
            <w:tcW w:w="75" w:type="dxa"/>
            <w:shd w:val="clear" w:color="auto" w:fill="FFFFFF"/>
            <w:tcMar>
              <w:top w:w="30" w:type="dxa"/>
              <w:left w:w="30" w:type="dxa"/>
              <w:bottom w:w="30" w:type="dxa"/>
              <w:right w:w="30" w:type="dxa"/>
            </w:tcMar>
            <w:vAlign w:val="center"/>
            <w:hideMark/>
          </w:tcPr>
          <w:p w:rsidR="004549C3" w:rsidRDefault="004549C3">
            <w:pPr>
              <w:spacing w:after="0"/>
            </w:pPr>
          </w:p>
        </w:tc>
        <w:tc>
          <w:tcPr>
            <w:tcW w:w="4050" w:type="dxa"/>
            <w:gridSpan w:val="5"/>
            <w:shd w:val="clear" w:color="auto" w:fill="F2EFE9"/>
            <w:tcMar>
              <w:top w:w="30" w:type="dxa"/>
              <w:left w:w="30" w:type="dxa"/>
              <w:bottom w:w="30" w:type="dxa"/>
              <w:right w:w="30" w:type="dxa"/>
            </w:tcMar>
            <w:vAlign w:val="center"/>
          </w:tcPr>
          <w:p w:rsidR="004549C3" w:rsidRDefault="004549C3">
            <w:pPr>
              <w:pStyle w:val="a3"/>
              <w:spacing w:line="276" w:lineRule="auto"/>
              <w:rPr>
                <w:rFonts w:ascii="Times New Roman" w:hAnsi="Times New Roman"/>
                <w:color w:val="000000"/>
                <w:sz w:val="28"/>
                <w:szCs w:val="28"/>
                <w:lang w:eastAsia="ru-RU"/>
              </w:rPr>
            </w:pPr>
          </w:p>
        </w:tc>
        <w:tc>
          <w:tcPr>
            <w:tcW w:w="525" w:type="dxa"/>
            <w:shd w:val="clear" w:color="auto" w:fill="FFFFFF"/>
            <w:tcMar>
              <w:top w:w="30" w:type="dxa"/>
              <w:left w:w="30" w:type="dxa"/>
              <w:bottom w:w="30" w:type="dxa"/>
              <w:right w:w="30" w:type="dxa"/>
            </w:tcMar>
            <w:vAlign w:val="center"/>
          </w:tcPr>
          <w:p w:rsidR="004549C3" w:rsidRDefault="004549C3">
            <w:pPr>
              <w:pStyle w:val="a3"/>
              <w:spacing w:line="276" w:lineRule="auto"/>
              <w:rPr>
                <w:rFonts w:ascii="Times New Roman" w:hAnsi="Times New Roman"/>
                <w:color w:val="343434"/>
                <w:sz w:val="28"/>
                <w:szCs w:val="28"/>
                <w:lang w:eastAsia="ru-RU"/>
              </w:rPr>
            </w:pPr>
          </w:p>
        </w:tc>
      </w:tr>
    </w:tbl>
    <w:p w:rsidR="004549C3" w:rsidRDefault="004549C3" w:rsidP="004549C3">
      <w:pPr>
        <w:pStyle w:val="a3"/>
        <w:rPr>
          <w:rFonts w:ascii="Times New Roman" w:hAnsi="Times New Roman"/>
          <w:color w:val="343434"/>
          <w:sz w:val="28"/>
          <w:szCs w:val="28"/>
          <w:lang w:eastAsia="ru-RU"/>
        </w:rPr>
      </w:pPr>
      <w:r>
        <w:rPr>
          <w:rFonts w:ascii="Times New Roman" w:hAnsi="Times New Roman"/>
          <w:bCs/>
          <w:color w:val="343434"/>
          <w:sz w:val="28"/>
          <w:szCs w:val="28"/>
          <w:lang w:eastAsia="ru-RU"/>
        </w:rPr>
        <w:t>Контрольные вопросы</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1. Назначение и классификация оптических вентилей.</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2. Роль оптических изоляторов в ВОСП.</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3. Какой эффект лежит в основе работы изолятора?</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4. Поясните принцип действия оптического изолятора.</w:t>
      </w:r>
    </w:p>
    <w:p w:rsidR="004549C3" w:rsidRDefault="004549C3" w:rsidP="004549C3">
      <w:pPr>
        <w:pStyle w:val="a3"/>
        <w:rPr>
          <w:rFonts w:ascii="Times New Roman" w:hAnsi="Times New Roman"/>
          <w:color w:val="343434"/>
          <w:sz w:val="28"/>
          <w:szCs w:val="28"/>
          <w:lang w:eastAsia="ru-RU"/>
        </w:rPr>
      </w:pPr>
      <w:r>
        <w:rPr>
          <w:rFonts w:ascii="Times New Roman" w:hAnsi="Times New Roman"/>
          <w:color w:val="343434"/>
          <w:sz w:val="28"/>
          <w:szCs w:val="28"/>
          <w:lang w:eastAsia="ru-RU"/>
        </w:rPr>
        <w:t>5. Какими параметрами характеризуется оптический вентиль?</w:t>
      </w:r>
    </w:p>
    <w:p w:rsidR="004549C3" w:rsidRDefault="004549C3" w:rsidP="004549C3">
      <w:pPr>
        <w:pStyle w:val="a3"/>
        <w:rPr>
          <w:rFonts w:ascii="Times New Roman" w:hAnsi="Times New Roman"/>
          <w:color w:val="343434"/>
          <w:sz w:val="28"/>
          <w:szCs w:val="28"/>
          <w:lang w:eastAsia="ru-RU"/>
        </w:rPr>
      </w:pPr>
    </w:p>
    <w:p w:rsidR="004549C3" w:rsidRDefault="004549C3" w:rsidP="004549C3">
      <w:pPr>
        <w:pStyle w:val="a3"/>
        <w:rPr>
          <w:rFonts w:ascii="Times New Roman" w:hAnsi="Times New Roman"/>
          <w:color w:val="343434"/>
          <w:sz w:val="28"/>
          <w:szCs w:val="28"/>
          <w:lang w:eastAsia="ru-RU"/>
        </w:rPr>
      </w:pPr>
    </w:p>
    <w:p w:rsidR="004549C3" w:rsidRDefault="004549C3" w:rsidP="004549C3">
      <w:pPr>
        <w:pStyle w:val="a3"/>
        <w:rPr>
          <w:rFonts w:ascii="Times New Roman" w:hAnsi="Times New Roman"/>
          <w:color w:val="343434"/>
          <w:sz w:val="28"/>
          <w:szCs w:val="28"/>
          <w:lang w:eastAsia="ru-RU"/>
        </w:rPr>
      </w:pPr>
    </w:p>
    <w:p w:rsidR="005A3ED8" w:rsidRDefault="004549C3"/>
    <w:sectPr w:rsidR="005A3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F30"/>
    <w:rsid w:val="001B6BED"/>
    <w:rsid w:val="004549C3"/>
    <w:rsid w:val="00946F30"/>
    <w:rsid w:val="00BD6B36"/>
    <w:rsid w:val="00E82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49C3"/>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549C3"/>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49C3"/>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549C3"/>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5495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1364</Words>
  <Characters>7781</Characters>
  <Application>Microsoft Office Word</Application>
  <DocSecurity>0</DocSecurity>
  <Lines>64</Lines>
  <Paragraphs>18</Paragraphs>
  <ScaleCrop>false</ScaleCrop>
  <Company/>
  <LinksUpToDate>false</LinksUpToDate>
  <CharactersWithSpaces>9127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2021-02-25T14:04:00Z</dcterms:created>
  <dcterms:modified xsi:type="dcterms:W3CDTF">2021-02-25T14:05:00Z</dcterms:modified>
</cp:coreProperties>
</file>